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EF" w:rsidRPr="005362EF" w:rsidRDefault="005362EF" w:rsidP="005362EF">
      <w:pPr>
        <w:jc w:val="center"/>
        <w:rPr>
          <w:b/>
        </w:rPr>
      </w:pPr>
      <w:r w:rsidRPr="005362EF">
        <w:rPr>
          <w:b/>
        </w:rPr>
        <w:t>Acuerdo 40 de 2001</w:t>
      </w:r>
    </w:p>
    <w:p w:rsidR="005362EF" w:rsidRPr="005362EF" w:rsidRDefault="005362EF" w:rsidP="005362EF">
      <w:pPr>
        <w:jc w:val="center"/>
        <w:rPr>
          <w:b/>
        </w:rPr>
      </w:pPr>
      <w:r w:rsidRPr="005362EF">
        <w:rPr>
          <w:b/>
        </w:rPr>
        <w:t>(Septiembre 27)</w:t>
      </w:r>
    </w:p>
    <w:p w:rsidR="005362EF" w:rsidRPr="005362EF" w:rsidRDefault="005362EF" w:rsidP="005362EF">
      <w:pPr>
        <w:jc w:val="center"/>
        <w:rPr>
          <w:b/>
        </w:rPr>
      </w:pPr>
      <w:r w:rsidRPr="005362EF">
        <w:rPr>
          <w:b/>
        </w:rPr>
        <w:t>«Por el cual se autoriza el cupo de endeudamiento para la Empresa de Acueducto y Alcantarillado de Bogotá - E.S.P.».</w:t>
      </w:r>
    </w:p>
    <w:p w:rsidR="005362EF" w:rsidRDefault="005362EF" w:rsidP="005362EF"/>
    <w:p w:rsidR="005362EF" w:rsidRDefault="005362EF" w:rsidP="005362EF">
      <w:pPr>
        <w:jc w:val="center"/>
      </w:pPr>
      <w:r>
        <w:t>EL CONCEJO DE BOGOTÁ, DISTRITO CAPITAL</w:t>
      </w:r>
    </w:p>
    <w:p w:rsidR="005362EF" w:rsidRDefault="005362EF" w:rsidP="005362EF">
      <w:pPr>
        <w:jc w:val="center"/>
      </w:pPr>
      <w:r>
        <w:t>En ejercicio de sus atribuciones constitucionales y legales, en especial las conferidas en el numeral 17 del artículo 12 del Decreto Ley 1421 de 1993,</w:t>
      </w:r>
    </w:p>
    <w:p w:rsidR="005362EF" w:rsidRDefault="005362EF" w:rsidP="005362EF">
      <w:pPr>
        <w:jc w:val="center"/>
      </w:pPr>
      <w:r>
        <w:t>ACUERDA:</w:t>
      </w:r>
    </w:p>
    <w:p w:rsidR="00DD5109" w:rsidRDefault="005362EF" w:rsidP="005362EF">
      <w:pPr>
        <w:jc w:val="both"/>
      </w:pPr>
      <w:r>
        <w:t xml:space="preserve">ARTÍCULO PRIMERO.- </w:t>
      </w:r>
      <w:proofErr w:type="spellStart"/>
      <w:r>
        <w:t>Autorízase</w:t>
      </w:r>
      <w:proofErr w:type="spellEnd"/>
      <w:r>
        <w:t xml:space="preserve"> el cupo de endeudamiento para la Empresa de Acueducto y Alcantarillado de Bogotá - ESP, en la suma de Doscientos Cincuenta Millones de Dólares (USD $250.000.000) o su equivalente en otras monedas, para celebrar operaciones de Crédito Público Externo, Operaciones de Crédito Público Interno, o ambas, destinadas al financiamiento de los programas de inversión que aseguren la prestación del servicio de Acueducto y Alcantarillado de Bogotá D.C., sujeto al cumplimiento de las disposiciones vigentes sobre la materia. </w:t>
      </w:r>
    </w:p>
    <w:p w:rsidR="005362EF" w:rsidRDefault="005362EF" w:rsidP="005362EF">
      <w:pPr>
        <w:jc w:val="both"/>
      </w:pPr>
      <w:r>
        <w:t>ARTÍCULO SEGUNDO.- Corresponde a la Secretaría de Hacienda, Dirección Distrital de Crédito Público, el registro y el seguimiento del presente cupo de endeudamiento.</w:t>
      </w:r>
    </w:p>
    <w:p w:rsidR="005362EF" w:rsidRDefault="005362EF" w:rsidP="005362EF">
      <w:pPr>
        <w:jc w:val="both"/>
      </w:pPr>
      <w:r>
        <w:t>ARTÍCULO TERCERO.- La autorización de endeudamiento conferida a la Empresa de Acueducto y Alcantarillado de Bogotá - ESP, mediante el presente Acuerdo, se entenderá agotada una vez quede comprometido en su totalidad. Sin embargo, los montos que se afecten y no se contraten o los que se contraten y se cancelen por no utilización, podrán afectarse en igual cuantía de disponibilidad y hasta el monto del presente cupo de endeudamiento.</w:t>
      </w:r>
    </w:p>
    <w:p w:rsidR="005362EF" w:rsidRDefault="005362EF" w:rsidP="005362EF">
      <w:pPr>
        <w:jc w:val="both"/>
      </w:pPr>
      <w:r>
        <w:t>PARÁGRAFO.- Los créditos que se reembolsen en el curso normal de la operación no incrementarán en igual cuantía la disponibilidad del cupo.</w:t>
      </w:r>
    </w:p>
    <w:p w:rsidR="005362EF" w:rsidRDefault="005362EF" w:rsidP="005362EF">
      <w:pPr>
        <w:jc w:val="both"/>
      </w:pPr>
      <w:r>
        <w:t xml:space="preserve">ARTÍCULO CUARTO.- Las operaciones de </w:t>
      </w:r>
      <w:proofErr w:type="gramStart"/>
      <w:r>
        <w:t>crédito público o asimiladas</w:t>
      </w:r>
      <w:proofErr w:type="gramEnd"/>
      <w:r>
        <w:t xml:space="preserve"> que celebre la Empresa de Acueducto y Alcantarillado de Bogotá -ESP-, con plazo igual o inferior a un año, no afectarán el cupo de endeudamiento autorizado. Las operaciones de Crédito Público o asimiladas que realice la Empresa de Acueducto y Alcantarillado de Bogotá -ESP-, inicialmente con plazo igual o inferior a un año y que por cualquier motivo se extiendan a un plazo mayor, afectarán el cupo de endeudamiento.</w:t>
      </w:r>
    </w:p>
    <w:p w:rsidR="005362EF" w:rsidRDefault="005362EF" w:rsidP="005362EF">
      <w:pPr>
        <w:jc w:val="both"/>
      </w:pPr>
    </w:p>
    <w:p w:rsidR="005362EF" w:rsidRDefault="005362EF" w:rsidP="005362EF">
      <w:pPr>
        <w:jc w:val="both"/>
      </w:pPr>
    </w:p>
    <w:p w:rsidR="005362EF" w:rsidRDefault="005362EF" w:rsidP="005362EF">
      <w:pPr>
        <w:jc w:val="both"/>
      </w:pPr>
      <w:r>
        <w:lastRenderedPageBreak/>
        <w:t>ARTÍCULO QUINTO.- Las modificaciones de los contratos relativos a las operaciones de crédito público, asimiladas, de manejo de deuda y conexas a las anteriores, celebradas por la Empresa de Acueducto y Alcantarillado de Bogotá -ESP- y que hayan sido autorizadas por el Consejo Distrital de Política Económica y Fiscal, requerirán notificación a la Dirección Distrital de Crédito Público.</w:t>
      </w:r>
    </w:p>
    <w:p w:rsidR="005362EF" w:rsidRDefault="005362EF" w:rsidP="005362EF">
      <w:pPr>
        <w:jc w:val="both"/>
      </w:pPr>
      <w:r>
        <w:t xml:space="preserve">ARTÍCULO SEXTO.- A partir del 1° de enero del 2002, </w:t>
      </w:r>
      <w:proofErr w:type="spellStart"/>
      <w:r>
        <w:t>adóptensen</w:t>
      </w:r>
      <w:proofErr w:type="spellEnd"/>
      <w:r>
        <w:t xml:space="preserve"> los siguientes indicadores de gestión para la Empresa:</w:t>
      </w:r>
    </w:p>
    <w:tbl>
      <w:tblPr>
        <w:tblW w:w="89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8"/>
        <w:gridCol w:w="6100"/>
        <w:gridCol w:w="1435"/>
        <w:gridCol w:w="807"/>
      </w:tblGrid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INDICADORES BÁSICOS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META 2004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Cobertura residencial de acueducto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98.0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Cobertura residencial de alcantarillado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88.0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Eficiencia en el recaudo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92.0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Índice de agua no contabilizada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30.0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promedio de reclamos por facturación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Días hábiles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5.0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Estructuración patrimonio autónomo - garantía pensiones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100.0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Estudios de alternativas para el mejoramiento de la gestión 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integral de las zonas de servicio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100.0</w:t>
            </w:r>
          </w:p>
        </w:tc>
      </w:tr>
      <w:tr w:rsidR="005362EF" w:rsidRPr="005362EF" w:rsidTr="005362EF">
        <w:trPr>
          <w:tblCellSpacing w:w="0" w:type="dxa"/>
        </w:trPr>
        <w:tc>
          <w:tcPr>
            <w:tcW w:w="3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4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Estructurar el Fondo de Inversiones</w:t>
            </w:r>
          </w:p>
        </w:tc>
        <w:tc>
          <w:tcPr>
            <w:tcW w:w="80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450" w:type="pct"/>
            <w:hideMark/>
          </w:tcPr>
          <w:p w:rsidR="005362EF" w:rsidRPr="005362EF" w:rsidRDefault="005362EF" w:rsidP="00536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36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100.0</w:t>
            </w:r>
          </w:p>
        </w:tc>
      </w:tr>
    </w:tbl>
    <w:p w:rsidR="005362EF" w:rsidRDefault="005362EF" w:rsidP="005362EF">
      <w:pPr>
        <w:jc w:val="both"/>
      </w:pPr>
    </w:p>
    <w:p w:rsidR="005362EF" w:rsidRDefault="005362EF" w:rsidP="005362EF">
      <w:pPr>
        <w:jc w:val="both"/>
      </w:pPr>
      <w:r>
        <w:t>La Empresa deberá incorporar a partir del año 2002, en Informe Anual de Gestión y Resultados, los indicadores anteriores.</w:t>
      </w:r>
    </w:p>
    <w:p w:rsidR="005362EF" w:rsidRDefault="005362EF" w:rsidP="005362EF">
      <w:pPr>
        <w:jc w:val="both"/>
      </w:pPr>
      <w:r>
        <w:t>PARÁGRAFO: Las fórmulas de cálculo de los indicadores, fuente de información, periodicidad de presentación de los informes de avances y sistemas de calificación de cumplimiento a 2004 serán puestos por parte de la Empresa de Acueducto y Alcantarillado de Bogotá - E.S.P., a disposición de la Contraloría de Bogotá, D.C.</w:t>
      </w:r>
    </w:p>
    <w:p w:rsidR="005362EF" w:rsidRDefault="005362EF" w:rsidP="005362EF">
      <w:pPr>
        <w:jc w:val="both"/>
      </w:pPr>
      <w:r>
        <w:t>ARTÍCULO SÉPTIMO.- Las inversiones proyectadas con el cupo de endeudamiento contenido en el presente Acuerdo únicamente podrán ejecutarse en obras de infraestructura para la prestación del servicio de acueducto y alcantarillado para el Distrito Capital, con prioridad a los estratos 1, 2 y 3.</w:t>
      </w:r>
    </w:p>
    <w:p w:rsidR="005362EF" w:rsidRDefault="005362EF" w:rsidP="005362EF">
      <w:pPr>
        <w:jc w:val="both"/>
      </w:pPr>
      <w:r>
        <w:t>ARTÍCULO OCTAVO.- La Empresa de Acueducto y Alcantarillado de Bogotá -E.S.P., presentará semestralmente un informe al Concejo de Bogotá sobre el cumplimiento de lo preceptuado en el artículo sexto.</w:t>
      </w:r>
    </w:p>
    <w:p w:rsidR="005362EF" w:rsidRDefault="005362EF" w:rsidP="005362EF">
      <w:pPr>
        <w:jc w:val="both"/>
      </w:pPr>
    </w:p>
    <w:p w:rsidR="005362EF" w:rsidRDefault="005362EF" w:rsidP="005362EF">
      <w:pPr>
        <w:jc w:val="both"/>
      </w:pPr>
    </w:p>
    <w:p w:rsidR="005362EF" w:rsidRDefault="005362EF" w:rsidP="005362EF">
      <w:pPr>
        <w:jc w:val="both"/>
      </w:pPr>
      <w:r>
        <w:lastRenderedPageBreak/>
        <w:t>ARTÍCULO NOVENO.- El presente cupo de endeudamiento deberá ajustarse a los planes, programas, obligaciones y compromisos presentados por la empresa.</w:t>
      </w:r>
    </w:p>
    <w:p w:rsidR="005362EF" w:rsidRDefault="005362EF" w:rsidP="005362EF">
      <w:pPr>
        <w:jc w:val="both"/>
      </w:pPr>
      <w:r>
        <w:t>ARTÍCULO DÉCIMO.- El presente cupo de endeudamiento en ningún caso podrá destinarse para gastos de funcionamiento, ni planes de retiro voluntario.</w:t>
      </w:r>
    </w:p>
    <w:p w:rsidR="005362EF" w:rsidRDefault="005362EF" w:rsidP="005362EF">
      <w:pPr>
        <w:jc w:val="both"/>
      </w:pPr>
      <w:r>
        <w:t>ARTÍCULO DÉCIMO PRIMERO.- Este Acuerdo deroga y modifica todas las disposiciones que le sean contrarias y rige a partir de la fecha de su publicación.</w:t>
      </w:r>
    </w:p>
    <w:p w:rsidR="005362EF" w:rsidRDefault="005362EF" w:rsidP="005362EF">
      <w:pPr>
        <w:jc w:val="both"/>
      </w:pPr>
      <w:r>
        <w:t>Dado en Bogotá, D.C., a los veintisiete (27) días del mes de septiembre de dos mil uno (2001).</w:t>
      </w:r>
    </w:p>
    <w:p w:rsidR="005362EF" w:rsidRDefault="005362EF" w:rsidP="005362EF"/>
    <w:p w:rsidR="005362EF" w:rsidRDefault="005362EF" w:rsidP="005362EF">
      <w:pPr>
        <w:spacing w:line="240" w:lineRule="auto"/>
        <w:jc w:val="center"/>
      </w:pPr>
      <w:r>
        <w:t>MARÍA VICTORIA VARGAS</w:t>
      </w:r>
    </w:p>
    <w:p w:rsidR="005362EF" w:rsidRDefault="005362EF" w:rsidP="005362EF">
      <w:pPr>
        <w:spacing w:line="240" w:lineRule="auto"/>
        <w:jc w:val="center"/>
      </w:pPr>
      <w:r>
        <w:t>Presidente</w:t>
      </w:r>
    </w:p>
    <w:p w:rsidR="005362EF" w:rsidRDefault="005362EF" w:rsidP="005362EF">
      <w:pPr>
        <w:spacing w:line="240" w:lineRule="auto"/>
        <w:jc w:val="center"/>
      </w:pPr>
      <w:r>
        <w:t>Concejo de Bogotá, D.C.</w:t>
      </w:r>
    </w:p>
    <w:p w:rsidR="005362EF" w:rsidRDefault="005362EF" w:rsidP="005362EF">
      <w:pPr>
        <w:spacing w:line="240" w:lineRule="auto"/>
        <w:jc w:val="center"/>
      </w:pPr>
    </w:p>
    <w:p w:rsidR="005362EF" w:rsidRDefault="005362EF" w:rsidP="005362EF">
      <w:pPr>
        <w:spacing w:line="240" w:lineRule="auto"/>
        <w:jc w:val="center"/>
      </w:pPr>
      <w:r>
        <w:t>MANUEL VICENTE LÓPEZ</w:t>
      </w:r>
    </w:p>
    <w:p w:rsidR="005362EF" w:rsidRDefault="005362EF" w:rsidP="005362EF">
      <w:pPr>
        <w:spacing w:line="240" w:lineRule="auto"/>
        <w:jc w:val="center"/>
      </w:pPr>
      <w:r>
        <w:t>Secretario General</w:t>
      </w:r>
    </w:p>
    <w:p w:rsidR="005362EF" w:rsidRDefault="005362EF" w:rsidP="005362EF">
      <w:pPr>
        <w:spacing w:line="240" w:lineRule="auto"/>
        <w:jc w:val="center"/>
      </w:pPr>
      <w:r>
        <w:t>Concejo de Bogotá, D.C.</w:t>
      </w:r>
    </w:p>
    <w:p w:rsidR="005362EF" w:rsidRDefault="005362EF" w:rsidP="005362EF">
      <w:pPr>
        <w:spacing w:line="240" w:lineRule="auto"/>
        <w:jc w:val="center"/>
      </w:pPr>
    </w:p>
    <w:p w:rsidR="005362EF" w:rsidRDefault="005362EF" w:rsidP="005362EF">
      <w:pPr>
        <w:spacing w:line="240" w:lineRule="auto"/>
        <w:jc w:val="center"/>
      </w:pPr>
      <w:r>
        <w:t>ALCALDÍA MAYOR DE BOGOTÁ, D.C.</w:t>
      </w:r>
    </w:p>
    <w:p w:rsidR="005362EF" w:rsidRDefault="005362EF" w:rsidP="005362EF">
      <w:pPr>
        <w:spacing w:line="240" w:lineRule="auto"/>
        <w:jc w:val="center"/>
      </w:pPr>
      <w:r>
        <w:t>ANTANAS MOCKUS SIVICKAS</w:t>
      </w:r>
    </w:p>
    <w:p w:rsidR="005362EF" w:rsidRDefault="005362EF" w:rsidP="005362EF">
      <w:pPr>
        <w:spacing w:line="240" w:lineRule="auto"/>
        <w:jc w:val="center"/>
      </w:pPr>
      <w:r>
        <w:t>Alcalde Mayor</w:t>
      </w:r>
    </w:p>
    <w:p w:rsidR="005362EF" w:rsidRDefault="005362EF" w:rsidP="005362EF">
      <w:pPr>
        <w:spacing w:line="240" w:lineRule="auto"/>
        <w:jc w:val="center"/>
      </w:pPr>
    </w:p>
    <w:p w:rsidR="005362EF" w:rsidRDefault="005362EF" w:rsidP="005362EF">
      <w:pPr>
        <w:spacing w:line="240" w:lineRule="auto"/>
        <w:jc w:val="center"/>
      </w:pPr>
      <w:r>
        <w:t>PUBLÍQUESE Y EJECÚTESE.</w:t>
      </w:r>
    </w:p>
    <w:p w:rsidR="005362EF" w:rsidRDefault="005362EF" w:rsidP="005362EF">
      <w:pPr>
        <w:spacing w:line="240" w:lineRule="auto"/>
        <w:jc w:val="center"/>
      </w:pPr>
      <w:r>
        <w:t>Octubre 1 de 2001.</w:t>
      </w:r>
    </w:p>
    <w:p w:rsidR="005362EF" w:rsidRDefault="005362EF" w:rsidP="005362EF">
      <w:pPr>
        <w:spacing w:line="240" w:lineRule="auto"/>
        <w:jc w:val="center"/>
      </w:pPr>
    </w:p>
    <w:p w:rsidR="005362EF" w:rsidRDefault="005362EF" w:rsidP="005362EF">
      <w:pPr>
        <w:spacing w:line="240" w:lineRule="auto"/>
        <w:jc w:val="center"/>
      </w:pPr>
    </w:p>
    <w:p w:rsidR="005362EF" w:rsidRDefault="005362EF" w:rsidP="005362EF">
      <w:pPr>
        <w:spacing w:line="240" w:lineRule="auto"/>
        <w:jc w:val="center"/>
      </w:pPr>
      <w:r>
        <w:t>NOTA: Publicado en el Registro Distrital N° 2484 de 1° de octubre de 2001</w:t>
      </w:r>
    </w:p>
    <w:p w:rsidR="00C03766" w:rsidRDefault="00C03766"/>
    <w:sectPr w:rsidR="00C03766" w:rsidSect="005362EF">
      <w:pgSz w:w="12242" w:h="15842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62EF"/>
    <w:rsid w:val="001B63AF"/>
    <w:rsid w:val="00427607"/>
    <w:rsid w:val="005362EF"/>
    <w:rsid w:val="00841075"/>
    <w:rsid w:val="009F348E"/>
    <w:rsid w:val="00C03766"/>
    <w:rsid w:val="00D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Acueducto de Bogota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jgarcia</dc:creator>
  <cp:keywords/>
  <dc:description/>
  <cp:lastModifiedBy>jgarcia</cp:lastModifiedBy>
  <cp:revision>2</cp:revision>
  <dcterms:created xsi:type="dcterms:W3CDTF">2010-07-22T16:02:00Z</dcterms:created>
  <dcterms:modified xsi:type="dcterms:W3CDTF">2010-07-22T18:56:00Z</dcterms:modified>
</cp:coreProperties>
</file>